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11" w:rsidRPr="002D7FAD" w:rsidRDefault="00645D11" w:rsidP="00645D11">
      <w:pPr>
        <w:pStyle w:val="2"/>
        <w:spacing w:before="0" w:after="0" w:line="360" w:lineRule="auto"/>
        <w:rPr>
          <w:sz w:val="28"/>
          <w:szCs w:val="28"/>
          <w:lang w:eastAsia="zh-CN"/>
        </w:rPr>
      </w:pPr>
      <w:r w:rsidRPr="002D7FAD">
        <w:rPr>
          <w:sz w:val="28"/>
          <w:szCs w:val="28"/>
          <w:lang w:eastAsia="zh-CN"/>
        </w:rPr>
        <w:t>《设备技术要求与商务要求范本》</w:t>
      </w:r>
    </w:p>
    <w:p w:rsidR="00645D11" w:rsidRPr="00910FBC" w:rsidRDefault="00645D11" w:rsidP="00645D11">
      <w:pPr>
        <w:pStyle w:val="Heading4"/>
        <w:spacing w:line="360" w:lineRule="auto"/>
        <w:ind w:left="0" w:firstLineChars="200" w:firstLine="480"/>
        <w:jc w:val="center"/>
        <w:rPr>
          <w:rFonts w:asciiTheme="minorEastAsia" w:eastAsiaTheme="minorEastAsia" w:hAnsiTheme="minorEastAsia"/>
          <w:sz w:val="24"/>
          <w:szCs w:val="24"/>
          <w:lang w:eastAsia="zh-CN"/>
        </w:rPr>
      </w:pPr>
      <w:r w:rsidRPr="00910FBC">
        <w:rPr>
          <w:rFonts w:asciiTheme="minorEastAsia" w:eastAsiaTheme="minorEastAsia" w:hAnsiTheme="minorEastAsia" w:hint="eastAsia"/>
          <w:sz w:val="24"/>
          <w:szCs w:val="24"/>
          <w:lang w:eastAsia="zh-CN"/>
        </w:rPr>
        <w:t xml:space="preserve">（以下加阴影部分需按实际采购项目要求填写） </w:t>
      </w:r>
    </w:p>
    <w:p w:rsidR="00645D11" w:rsidRPr="00910FBC" w:rsidRDefault="00645D11" w:rsidP="00645D11">
      <w:pPr>
        <w:pStyle w:val="Heading4"/>
        <w:spacing w:line="360" w:lineRule="auto"/>
        <w:ind w:left="0" w:firstLineChars="200" w:firstLine="643"/>
        <w:jc w:val="center"/>
        <w:rPr>
          <w:rFonts w:asciiTheme="minorEastAsia" w:eastAsiaTheme="minorEastAsia" w:hAnsiTheme="minorEastAsia"/>
          <w:b/>
          <w:sz w:val="32"/>
          <w:szCs w:val="32"/>
          <w:lang w:eastAsia="zh-CN"/>
        </w:rPr>
      </w:pPr>
      <w:r w:rsidRPr="00910FBC">
        <w:rPr>
          <w:rFonts w:asciiTheme="minorEastAsia" w:eastAsiaTheme="minorEastAsia" w:hAnsiTheme="minorEastAsia" w:hint="eastAsia"/>
          <w:b/>
          <w:sz w:val="32"/>
          <w:szCs w:val="32"/>
          <w:lang w:eastAsia="zh-CN"/>
        </w:rPr>
        <w:t>石家庄铁路职业技术学院</w:t>
      </w:r>
    </w:p>
    <w:p w:rsidR="00645D11" w:rsidRPr="00910FBC" w:rsidRDefault="00645D11" w:rsidP="00645D11">
      <w:pPr>
        <w:spacing w:line="360" w:lineRule="auto"/>
        <w:ind w:firstLineChars="200" w:firstLine="643"/>
        <w:jc w:val="center"/>
        <w:rPr>
          <w:rFonts w:asciiTheme="minorEastAsia" w:eastAsiaTheme="minorEastAsia" w:hAnsiTheme="minorEastAsia"/>
          <w:b/>
          <w:sz w:val="32"/>
          <w:szCs w:val="32"/>
          <w:lang w:eastAsia="zh-CN"/>
        </w:rPr>
      </w:pPr>
      <w:r w:rsidRPr="00910FBC">
        <w:rPr>
          <w:rFonts w:asciiTheme="minorEastAsia" w:eastAsiaTheme="minorEastAsia" w:hAnsiTheme="minorEastAsia" w:hint="eastAsia"/>
          <w:b/>
          <w:sz w:val="32"/>
          <w:szCs w:val="32"/>
          <w:shd w:val="clear" w:color="auto" w:fill="D9D9D9"/>
          <w:lang w:eastAsia="zh-CN"/>
        </w:rPr>
        <w:t>××××××××</w:t>
      </w:r>
      <w:r w:rsidRPr="00910FBC">
        <w:rPr>
          <w:rFonts w:asciiTheme="minorEastAsia" w:eastAsiaTheme="minorEastAsia" w:hAnsiTheme="minorEastAsia" w:hint="eastAsia"/>
          <w:b/>
          <w:sz w:val="32"/>
          <w:szCs w:val="32"/>
          <w:lang w:eastAsia="zh-CN"/>
        </w:rPr>
        <w:t>项目技术要求和商务要求</w:t>
      </w:r>
    </w:p>
    <w:p w:rsidR="00645D11" w:rsidRPr="00910FBC" w:rsidRDefault="00645D11" w:rsidP="00645D11">
      <w:pPr>
        <w:spacing w:line="360" w:lineRule="auto"/>
        <w:ind w:firstLineChars="200" w:firstLine="482"/>
        <w:rPr>
          <w:rFonts w:asciiTheme="minorEastAsia" w:eastAsiaTheme="minorEastAsia" w:hAnsiTheme="minorEastAsia"/>
          <w:b/>
          <w:sz w:val="24"/>
          <w:szCs w:val="24"/>
          <w:lang w:eastAsia="zh-CN"/>
        </w:rPr>
      </w:pPr>
      <w:r w:rsidRPr="00910FBC">
        <w:rPr>
          <w:rFonts w:asciiTheme="minorEastAsia" w:eastAsiaTheme="minorEastAsia" w:hAnsiTheme="minorEastAsia" w:hint="eastAsia"/>
          <w:b/>
          <w:sz w:val="24"/>
          <w:szCs w:val="24"/>
          <w:lang w:eastAsia="zh-CN"/>
        </w:rPr>
        <w:t>一、项目概况及背景介绍</w:t>
      </w:r>
    </w:p>
    <w:p w:rsidR="00645D11" w:rsidRPr="00910FBC"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910FBC">
        <w:rPr>
          <w:rFonts w:asciiTheme="minorEastAsia" w:eastAsiaTheme="minorEastAsia" w:hAnsiTheme="minorEastAsia" w:cs="宋体" w:hint="eastAsia"/>
          <w:shd w:val="clear" w:color="auto" w:fill="D9D9D9"/>
          <w:lang w:eastAsia="zh-CN"/>
        </w:rPr>
        <w:t>我院此次新建的机房电脑位于</w:t>
      </w:r>
      <w:r>
        <w:rPr>
          <w:rFonts w:asciiTheme="minorEastAsia" w:eastAsiaTheme="minorEastAsia" w:hAnsiTheme="minorEastAsia" w:cs="宋体" w:hint="eastAsia"/>
          <w:shd w:val="clear" w:color="auto" w:fill="D9D9D9"/>
          <w:lang w:eastAsia="zh-CN"/>
        </w:rPr>
        <w:t>主教学楼</w:t>
      </w:r>
      <w:r>
        <w:rPr>
          <w:rFonts w:asciiTheme="minorEastAsia" w:eastAsiaTheme="minorEastAsia" w:hAnsiTheme="minorEastAsia" w:cs="宋体"/>
          <w:shd w:val="clear" w:color="auto" w:fill="D9D9D9"/>
          <w:lang w:eastAsia="zh-CN"/>
        </w:rPr>
        <w:t>8</w:t>
      </w:r>
      <w:r w:rsidRPr="00910FBC">
        <w:rPr>
          <w:rFonts w:asciiTheme="minorEastAsia" w:eastAsiaTheme="minorEastAsia" w:hAnsiTheme="minorEastAsia" w:cs="宋体" w:hint="eastAsia"/>
          <w:shd w:val="clear" w:color="auto" w:fill="D9D9D9"/>
          <w:lang w:eastAsia="zh-CN"/>
        </w:rPr>
        <w:t>层，共需电脑设备（含智能课堂系统）</w:t>
      </w:r>
      <w:r w:rsidRPr="00910FBC">
        <w:rPr>
          <w:rFonts w:asciiTheme="minorEastAsia" w:eastAsiaTheme="minorEastAsia" w:hAnsiTheme="minorEastAsia" w:cs="宋体"/>
          <w:shd w:val="clear" w:color="auto" w:fill="D9D9D9"/>
          <w:lang w:eastAsia="zh-CN"/>
        </w:rPr>
        <w:t xml:space="preserve">140 </w:t>
      </w:r>
      <w:r w:rsidRPr="00910FBC">
        <w:rPr>
          <w:rFonts w:asciiTheme="minorEastAsia" w:eastAsiaTheme="minorEastAsia" w:hAnsiTheme="minorEastAsia" w:cs="宋体" w:hint="eastAsia"/>
          <w:shd w:val="clear" w:color="auto" w:fill="D9D9D9"/>
          <w:lang w:eastAsia="zh-CN"/>
        </w:rPr>
        <w:t>套，</w:t>
      </w:r>
      <w:r w:rsidRPr="00910FBC">
        <w:rPr>
          <w:rFonts w:asciiTheme="minorEastAsia" w:eastAsiaTheme="minorEastAsia" w:hAnsiTheme="minorEastAsia" w:cs="宋体"/>
          <w:shd w:val="clear" w:color="auto" w:fill="D9D9D9"/>
          <w:lang w:eastAsia="zh-CN"/>
        </w:rPr>
        <w:t>学、远程协助等功能、学生电脑行为监控管理，提高教学效率和学生的学习效果。支持</w:t>
      </w:r>
      <w:r>
        <w:rPr>
          <w:rFonts w:asciiTheme="minorEastAsia" w:eastAsiaTheme="minorEastAsia" w:hAnsiTheme="minorEastAsia" w:cs="宋体" w:hint="eastAsia"/>
          <w:shd w:val="clear" w:color="auto" w:fill="D9D9D9"/>
          <w:lang w:eastAsia="zh-CN"/>
        </w:rPr>
        <w:t>可为教学提供教学互动辅助、</w:t>
      </w:r>
      <w:r w:rsidRPr="00910FBC">
        <w:rPr>
          <w:rFonts w:asciiTheme="minorEastAsia" w:eastAsiaTheme="minorEastAsia" w:hAnsiTheme="minorEastAsia" w:cs="宋体" w:hint="eastAsia"/>
          <w:shd w:val="clear" w:color="auto" w:fill="D9D9D9"/>
          <w:lang w:eastAsia="zh-CN"/>
        </w:rPr>
        <w:t>资源共享及分发、随堂测验及标准考试、语音教笔记本</w:t>
      </w:r>
      <w:r w:rsidRPr="00910FBC">
        <w:rPr>
          <w:rFonts w:asciiTheme="minorEastAsia" w:eastAsiaTheme="minorEastAsia" w:hAnsiTheme="minorEastAsia" w:cs="宋体"/>
          <w:shd w:val="clear" w:color="auto" w:fill="D9D9D9"/>
          <w:lang w:eastAsia="zh-CN"/>
        </w:rPr>
        <w:t>/</w:t>
      </w:r>
      <w:r w:rsidRPr="00910FBC">
        <w:rPr>
          <w:rFonts w:asciiTheme="minorEastAsia" w:eastAsiaTheme="minorEastAsia" w:hAnsiTheme="minorEastAsia" w:cs="宋体" w:hint="eastAsia"/>
          <w:shd w:val="clear" w:color="auto" w:fill="D9D9D9"/>
          <w:lang w:eastAsia="zh-CN"/>
        </w:rPr>
        <w:t>台式机</w:t>
      </w:r>
      <w:r w:rsidRPr="00910FBC">
        <w:rPr>
          <w:rFonts w:asciiTheme="minorEastAsia" w:eastAsiaTheme="minorEastAsia" w:hAnsiTheme="minorEastAsia" w:cs="宋体"/>
          <w:shd w:val="clear" w:color="auto" w:fill="D9D9D9"/>
          <w:lang w:eastAsia="zh-CN"/>
        </w:rPr>
        <w:t>/</w:t>
      </w:r>
      <w:r w:rsidRPr="00910FBC">
        <w:rPr>
          <w:rFonts w:asciiTheme="minorEastAsia" w:eastAsiaTheme="minorEastAsia" w:hAnsiTheme="minorEastAsia" w:cs="宋体" w:hint="eastAsia"/>
          <w:shd w:val="clear" w:color="auto" w:fill="D9D9D9"/>
          <w:lang w:eastAsia="zh-CN"/>
        </w:rPr>
        <w:t>手机</w:t>
      </w:r>
      <w:r w:rsidRPr="00910FBC">
        <w:rPr>
          <w:rFonts w:asciiTheme="minorEastAsia" w:eastAsiaTheme="minorEastAsia" w:hAnsiTheme="minorEastAsia" w:cs="宋体"/>
          <w:shd w:val="clear" w:color="auto" w:fill="D9D9D9"/>
          <w:lang w:eastAsia="zh-CN"/>
        </w:rPr>
        <w:t>/</w:t>
      </w:r>
      <w:r w:rsidRPr="00910FBC">
        <w:rPr>
          <w:rFonts w:asciiTheme="minorEastAsia" w:eastAsiaTheme="minorEastAsia" w:hAnsiTheme="minorEastAsia" w:cs="宋体" w:hint="eastAsia"/>
          <w:shd w:val="clear" w:color="auto" w:fill="D9D9D9"/>
          <w:lang w:eastAsia="zh-CN"/>
        </w:rPr>
        <w:t>平板跨网段、跨班级统一管理移动教学，支持</w:t>
      </w:r>
      <w:r>
        <w:rPr>
          <w:rFonts w:asciiTheme="minorEastAsia" w:eastAsiaTheme="minorEastAsia" w:hAnsiTheme="minorEastAsia" w:cs="宋体"/>
          <w:shd w:val="clear" w:color="auto" w:fill="D9D9D9"/>
          <w:lang w:eastAsia="zh-CN"/>
        </w:rPr>
        <w:t>BYOD</w:t>
      </w:r>
      <w:r w:rsidRPr="00910FBC">
        <w:rPr>
          <w:rFonts w:asciiTheme="minorEastAsia" w:eastAsiaTheme="minorEastAsia" w:hAnsiTheme="minorEastAsia" w:cs="宋体" w:hint="eastAsia"/>
          <w:shd w:val="clear" w:color="auto" w:fill="D9D9D9"/>
          <w:lang w:eastAsia="zh-CN"/>
        </w:rPr>
        <w:t>，可创建多种教学环境</w:t>
      </w:r>
      <w:r w:rsidRPr="00910FBC">
        <w:rPr>
          <w:rFonts w:asciiTheme="minorEastAsia" w:eastAsiaTheme="minorEastAsia" w:hAnsiTheme="minorEastAsia" w:cs="宋体"/>
          <w:shd w:val="clear" w:color="auto" w:fill="D9D9D9"/>
          <w:lang w:eastAsia="zh-CN"/>
        </w:rPr>
        <w:t>/</w:t>
      </w:r>
      <w:r w:rsidRPr="00910FBC">
        <w:rPr>
          <w:rFonts w:asciiTheme="minorEastAsia" w:eastAsiaTheme="minorEastAsia" w:hAnsiTheme="minorEastAsia" w:cs="宋体" w:hint="eastAsia"/>
          <w:shd w:val="clear" w:color="auto" w:fill="D9D9D9"/>
          <w:lang w:eastAsia="zh-CN"/>
        </w:rPr>
        <w:t>模式。</w:t>
      </w:r>
    </w:p>
    <w:p w:rsidR="00645D11" w:rsidRPr="002D7FAD" w:rsidRDefault="00645D11" w:rsidP="00645D11">
      <w:pPr>
        <w:spacing w:line="360" w:lineRule="auto"/>
        <w:ind w:firstLineChars="200" w:firstLine="482"/>
        <w:rPr>
          <w:rFonts w:asciiTheme="minorEastAsia" w:eastAsiaTheme="minorEastAsia" w:hAnsiTheme="minorEastAsia"/>
          <w:b/>
          <w:sz w:val="24"/>
          <w:szCs w:val="24"/>
          <w:lang w:eastAsia="zh-CN"/>
        </w:rPr>
      </w:pPr>
      <w:r w:rsidRPr="002D7FAD">
        <w:rPr>
          <w:rFonts w:asciiTheme="minorEastAsia" w:eastAsiaTheme="minorEastAsia" w:hAnsiTheme="minorEastAsia" w:hint="eastAsia"/>
          <w:b/>
          <w:sz w:val="24"/>
          <w:szCs w:val="24"/>
          <w:lang w:eastAsia="zh-CN"/>
        </w:rPr>
        <w:t>二、招标货物名称、数量</w:t>
      </w:r>
    </w:p>
    <w:tbl>
      <w:tblPr>
        <w:tblW w:w="5000" w:type="pct"/>
        <w:tblLook w:val="04A0"/>
      </w:tblPr>
      <w:tblGrid>
        <w:gridCol w:w="1177"/>
        <w:gridCol w:w="4329"/>
        <w:gridCol w:w="1514"/>
        <w:gridCol w:w="1502"/>
      </w:tblGrid>
      <w:tr w:rsidR="00645D11" w:rsidRPr="00F85E27" w:rsidTr="001F41E8">
        <w:trPr>
          <w:trHeight w:val="390"/>
          <w:tblHeader/>
        </w:trPr>
        <w:tc>
          <w:tcPr>
            <w:tcW w:w="6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5D11" w:rsidRPr="00F85E27" w:rsidRDefault="00645D11" w:rsidP="001F41E8">
            <w:pPr>
              <w:widowControl/>
              <w:spacing w:line="360" w:lineRule="auto"/>
              <w:jc w:val="center"/>
              <w:rPr>
                <w:rFonts w:asciiTheme="minorEastAsia" w:eastAsiaTheme="minorEastAsia" w:hAnsiTheme="minorEastAsia" w:cs="宋体"/>
                <w:b/>
                <w:bCs/>
                <w:szCs w:val="24"/>
              </w:rPr>
            </w:pPr>
            <w:proofErr w:type="spellStart"/>
            <w:r w:rsidRPr="00F85E27">
              <w:rPr>
                <w:rFonts w:asciiTheme="minorEastAsia" w:eastAsiaTheme="minorEastAsia" w:hAnsiTheme="minorEastAsia" w:cs="宋体" w:hint="eastAsia"/>
                <w:b/>
                <w:bCs/>
                <w:szCs w:val="24"/>
              </w:rPr>
              <w:t>序号</w:t>
            </w:r>
            <w:proofErr w:type="spellEnd"/>
          </w:p>
        </w:tc>
        <w:tc>
          <w:tcPr>
            <w:tcW w:w="2540" w:type="pct"/>
            <w:tcBorders>
              <w:top w:val="single" w:sz="8" w:space="0" w:color="auto"/>
              <w:left w:val="nil"/>
              <w:bottom w:val="single" w:sz="8" w:space="0" w:color="auto"/>
              <w:right w:val="single" w:sz="8" w:space="0" w:color="auto"/>
            </w:tcBorders>
            <w:shd w:val="clear" w:color="auto" w:fill="auto"/>
            <w:vAlign w:val="center"/>
            <w:hideMark/>
          </w:tcPr>
          <w:p w:rsidR="00645D11" w:rsidRPr="00F85E27" w:rsidRDefault="00645D11" w:rsidP="001F41E8">
            <w:pPr>
              <w:widowControl/>
              <w:spacing w:line="360" w:lineRule="auto"/>
              <w:jc w:val="center"/>
              <w:rPr>
                <w:rFonts w:asciiTheme="minorEastAsia" w:eastAsiaTheme="minorEastAsia" w:hAnsiTheme="minorEastAsia" w:cs="宋体"/>
                <w:b/>
                <w:bCs/>
                <w:szCs w:val="24"/>
              </w:rPr>
            </w:pPr>
            <w:proofErr w:type="spellStart"/>
            <w:r w:rsidRPr="00F85E27">
              <w:rPr>
                <w:rFonts w:asciiTheme="minorEastAsia" w:eastAsiaTheme="minorEastAsia" w:hAnsiTheme="minorEastAsia" w:cs="宋体" w:hint="eastAsia"/>
                <w:b/>
                <w:bCs/>
                <w:szCs w:val="24"/>
              </w:rPr>
              <w:t>名称</w:t>
            </w:r>
            <w:proofErr w:type="spellEnd"/>
          </w:p>
        </w:tc>
        <w:tc>
          <w:tcPr>
            <w:tcW w:w="888" w:type="pct"/>
            <w:tcBorders>
              <w:top w:val="single" w:sz="8" w:space="0" w:color="auto"/>
              <w:left w:val="nil"/>
              <w:bottom w:val="single" w:sz="8" w:space="0" w:color="auto"/>
              <w:right w:val="single" w:sz="8" w:space="0" w:color="auto"/>
            </w:tcBorders>
            <w:shd w:val="clear" w:color="auto" w:fill="auto"/>
            <w:vAlign w:val="center"/>
            <w:hideMark/>
          </w:tcPr>
          <w:p w:rsidR="00645D11" w:rsidRPr="00F85E27" w:rsidRDefault="00645D11" w:rsidP="001F41E8">
            <w:pPr>
              <w:widowControl/>
              <w:spacing w:line="360" w:lineRule="auto"/>
              <w:jc w:val="center"/>
              <w:rPr>
                <w:rFonts w:asciiTheme="minorEastAsia" w:eastAsiaTheme="minorEastAsia" w:hAnsiTheme="minorEastAsia" w:cs="宋体"/>
                <w:b/>
                <w:bCs/>
                <w:szCs w:val="24"/>
              </w:rPr>
            </w:pPr>
            <w:proofErr w:type="spellStart"/>
            <w:r w:rsidRPr="00F85E27">
              <w:rPr>
                <w:rFonts w:asciiTheme="minorEastAsia" w:eastAsiaTheme="minorEastAsia" w:hAnsiTheme="minorEastAsia" w:cs="宋体" w:hint="eastAsia"/>
                <w:b/>
                <w:bCs/>
                <w:szCs w:val="24"/>
              </w:rPr>
              <w:t>数量</w:t>
            </w:r>
            <w:proofErr w:type="spellEnd"/>
          </w:p>
        </w:tc>
        <w:tc>
          <w:tcPr>
            <w:tcW w:w="881" w:type="pct"/>
            <w:tcBorders>
              <w:top w:val="single" w:sz="8" w:space="0" w:color="auto"/>
              <w:left w:val="nil"/>
              <w:bottom w:val="single" w:sz="8" w:space="0" w:color="auto"/>
              <w:right w:val="single" w:sz="8" w:space="0" w:color="auto"/>
            </w:tcBorders>
            <w:shd w:val="clear" w:color="auto" w:fill="auto"/>
            <w:vAlign w:val="center"/>
            <w:hideMark/>
          </w:tcPr>
          <w:p w:rsidR="00645D11" w:rsidRPr="00F85E27" w:rsidRDefault="00645D11" w:rsidP="001F41E8">
            <w:pPr>
              <w:widowControl/>
              <w:spacing w:line="360" w:lineRule="auto"/>
              <w:jc w:val="center"/>
              <w:rPr>
                <w:rFonts w:asciiTheme="minorEastAsia" w:eastAsiaTheme="minorEastAsia" w:hAnsiTheme="minorEastAsia" w:cs="宋体"/>
                <w:b/>
                <w:bCs/>
                <w:szCs w:val="24"/>
              </w:rPr>
            </w:pPr>
            <w:proofErr w:type="spellStart"/>
            <w:r w:rsidRPr="00F85E27">
              <w:rPr>
                <w:rFonts w:asciiTheme="minorEastAsia" w:eastAsiaTheme="minorEastAsia" w:hAnsiTheme="minorEastAsia" w:cs="宋体" w:hint="eastAsia"/>
                <w:b/>
                <w:bCs/>
                <w:szCs w:val="24"/>
              </w:rPr>
              <w:t>单位</w:t>
            </w:r>
            <w:proofErr w:type="spellEnd"/>
          </w:p>
        </w:tc>
      </w:tr>
      <w:tr w:rsidR="00645D11" w:rsidRPr="00F85E27" w:rsidTr="001F41E8">
        <w:trPr>
          <w:trHeight w:val="285"/>
        </w:trPr>
        <w:tc>
          <w:tcPr>
            <w:tcW w:w="691" w:type="pct"/>
            <w:tcBorders>
              <w:top w:val="nil"/>
              <w:left w:val="single" w:sz="8" w:space="0" w:color="auto"/>
              <w:bottom w:val="single" w:sz="8" w:space="0" w:color="auto"/>
              <w:right w:val="single" w:sz="8" w:space="0" w:color="auto"/>
            </w:tcBorders>
            <w:shd w:val="clear" w:color="auto" w:fill="auto"/>
            <w:noWrap/>
            <w:vAlign w:val="center"/>
            <w:hideMark/>
          </w:tcPr>
          <w:p w:rsidR="00645D11" w:rsidRPr="00633FEA" w:rsidRDefault="00645D11" w:rsidP="001F41E8">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1</w:t>
            </w:r>
          </w:p>
        </w:tc>
        <w:tc>
          <w:tcPr>
            <w:tcW w:w="2540" w:type="pct"/>
            <w:tcBorders>
              <w:top w:val="nil"/>
              <w:left w:val="nil"/>
              <w:bottom w:val="single" w:sz="8" w:space="0" w:color="auto"/>
              <w:right w:val="single" w:sz="8" w:space="0" w:color="auto"/>
            </w:tcBorders>
            <w:shd w:val="clear" w:color="auto" w:fill="auto"/>
            <w:noWrap/>
            <w:vAlign w:val="center"/>
          </w:tcPr>
          <w:p w:rsidR="00645D11" w:rsidRPr="00633FEA" w:rsidRDefault="00645D11" w:rsidP="001F41E8">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图形工作站</w:t>
            </w:r>
          </w:p>
        </w:tc>
        <w:tc>
          <w:tcPr>
            <w:tcW w:w="888" w:type="pct"/>
            <w:tcBorders>
              <w:top w:val="nil"/>
              <w:left w:val="nil"/>
              <w:bottom w:val="single" w:sz="8" w:space="0" w:color="auto"/>
              <w:right w:val="single" w:sz="8" w:space="0" w:color="auto"/>
            </w:tcBorders>
            <w:shd w:val="clear" w:color="auto" w:fill="auto"/>
            <w:noWrap/>
            <w:vAlign w:val="center"/>
          </w:tcPr>
          <w:p w:rsidR="00645D11" w:rsidRPr="00633FEA" w:rsidRDefault="00645D11" w:rsidP="001F41E8">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1</w:t>
            </w:r>
          </w:p>
        </w:tc>
        <w:tc>
          <w:tcPr>
            <w:tcW w:w="881" w:type="pct"/>
            <w:tcBorders>
              <w:top w:val="nil"/>
              <w:left w:val="nil"/>
              <w:bottom w:val="single" w:sz="8" w:space="0" w:color="auto"/>
              <w:right w:val="single" w:sz="8" w:space="0" w:color="auto"/>
            </w:tcBorders>
            <w:shd w:val="clear" w:color="auto" w:fill="auto"/>
            <w:noWrap/>
            <w:vAlign w:val="center"/>
          </w:tcPr>
          <w:p w:rsidR="00645D11" w:rsidRPr="00633FEA" w:rsidRDefault="00645D11" w:rsidP="001F41E8">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台</w:t>
            </w:r>
          </w:p>
        </w:tc>
      </w:tr>
      <w:tr w:rsidR="00645D11" w:rsidRPr="00F85E27" w:rsidTr="001F41E8">
        <w:trPr>
          <w:trHeight w:val="285"/>
        </w:trPr>
        <w:tc>
          <w:tcPr>
            <w:tcW w:w="691" w:type="pct"/>
            <w:tcBorders>
              <w:top w:val="nil"/>
              <w:left w:val="single" w:sz="8" w:space="0" w:color="auto"/>
              <w:bottom w:val="single" w:sz="8" w:space="0" w:color="auto"/>
              <w:right w:val="single" w:sz="8" w:space="0" w:color="auto"/>
            </w:tcBorders>
            <w:shd w:val="clear" w:color="auto" w:fill="auto"/>
            <w:noWrap/>
            <w:vAlign w:val="center"/>
            <w:hideMark/>
          </w:tcPr>
          <w:p w:rsidR="00645D11" w:rsidRPr="00633FEA" w:rsidRDefault="00645D11" w:rsidP="001F41E8">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2</w:t>
            </w:r>
          </w:p>
        </w:tc>
        <w:tc>
          <w:tcPr>
            <w:tcW w:w="2540" w:type="pct"/>
            <w:tcBorders>
              <w:top w:val="nil"/>
              <w:left w:val="nil"/>
              <w:bottom w:val="single" w:sz="8" w:space="0" w:color="auto"/>
              <w:right w:val="single" w:sz="8" w:space="0" w:color="auto"/>
            </w:tcBorders>
            <w:shd w:val="clear" w:color="auto" w:fill="auto"/>
            <w:noWrap/>
            <w:vAlign w:val="center"/>
          </w:tcPr>
          <w:p w:rsidR="00645D11" w:rsidRPr="00633FEA" w:rsidRDefault="00645D11" w:rsidP="001F41E8">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图形显示器</w:t>
            </w:r>
          </w:p>
        </w:tc>
        <w:tc>
          <w:tcPr>
            <w:tcW w:w="888" w:type="pct"/>
            <w:tcBorders>
              <w:top w:val="nil"/>
              <w:left w:val="nil"/>
              <w:bottom w:val="single" w:sz="8" w:space="0" w:color="auto"/>
              <w:right w:val="single" w:sz="8" w:space="0" w:color="auto"/>
            </w:tcBorders>
            <w:shd w:val="clear" w:color="auto" w:fill="auto"/>
            <w:noWrap/>
            <w:vAlign w:val="center"/>
          </w:tcPr>
          <w:p w:rsidR="00645D11" w:rsidRPr="00633FEA" w:rsidRDefault="00645D11" w:rsidP="001F41E8">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4</w:t>
            </w:r>
          </w:p>
        </w:tc>
        <w:tc>
          <w:tcPr>
            <w:tcW w:w="881" w:type="pct"/>
            <w:tcBorders>
              <w:top w:val="nil"/>
              <w:left w:val="nil"/>
              <w:bottom w:val="single" w:sz="8" w:space="0" w:color="auto"/>
              <w:right w:val="single" w:sz="8" w:space="0" w:color="auto"/>
            </w:tcBorders>
            <w:shd w:val="clear" w:color="auto" w:fill="auto"/>
            <w:noWrap/>
            <w:vAlign w:val="center"/>
          </w:tcPr>
          <w:p w:rsidR="00645D11" w:rsidRPr="00633FEA" w:rsidRDefault="00645D11" w:rsidP="001F41E8">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台</w:t>
            </w:r>
          </w:p>
        </w:tc>
      </w:tr>
    </w:tbl>
    <w:p w:rsidR="00645D11" w:rsidRPr="002D7FAD" w:rsidRDefault="00645D11" w:rsidP="00645D11">
      <w:pPr>
        <w:spacing w:line="360" w:lineRule="auto"/>
        <w:ind w:firstLineChars="200" w:firstLine="482"/>
        <w:rPr>
          <w:rFonts w:asciiTheme="minorEastAsia" w:eastAsiaTheme="minorEastAsia" w:hAnsiTheme="minorEastAsia"/>
          <w:b/>
          <w:sz w:val="24"/>
          <w:szCs w:val="24"/>
          <w:lang w:eastAsia="zh-CN"/>
        </w:rPr>
      </w:pPr>
      <w:r w:rsidRPr="002D7FAD">
        <w:rPr>
          <w:rFonts w:asciiTheme="minorEastAsia" w:eastAsiaTheme="minorEastAsia" w:hAnsiTheme="minorEastAsia" w:hint="eastAsia"/>
          <w:b/>
          <w:sz w:val="24"/>
          <w:szCs w:val="24"/>
          <w:lang w:eastAsia="zh-CN"/>
        </w:rPr>
        <w:t>三、招标货物技术要求</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（一）图形工作站</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*1、2U机架式服务器；</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*2、</w:t>
      </w:r>
      <w:proofErr w:type="spellStart"/>
      <w:r w:rsidRPr="00633FEA">
        <w:rPr>
          <w:rFonts w:asciiTheme="minorEastAsia" w:eastAsiaTheme="minorEastAsia" w:hAnsiTheme="minorEastAsia" w:cs="宋体" w:hint="eastAsia"/>
          <w:shd w:val="clear" w:color="auto" w:fill="D9D9D9"/>
          <w:lang w:eastAsia="zh-CN"/>
        </w:rPr>
        <w:t>cpu</w:t>
      </w:r>
      <w:proofErr w:type="spellEnd"/>
      <w:r w:rsidRPr="00633FEA">
        <w:rPr>
          <w:rFonts w:asciiTheme="minorEastAsia" w:eastAsiaTheme="minorEastAsia" w:hAnsiTheme="minorEastAsia" w:cs="宋体" w:hint="eastAsia"/>
          <w:shd w:val="clear" w:color="auto" w:fill="D9D9D9"/>
          <w:lang w:eastAsia="zh-CN"/>
        </w:rPr>
        <w:t>：</w:t>
      </w:r>
      <w:r w:rsidRPr="00633FEA">
        <w:rPr>
          <w:rFonts w:asciiTheme="minorEastAsia" w:eastAsiaTheme="minorEastAsia" w:hAnsiTheme="minorEastAsia" w:cs="宋体"/>
          <w:shd w:val="clear" w:color="auto" w:fill="D9D9D9"/>
          <w:lang w:eastAsia="zh-CN"/>
        </w:rPr>
        <w:t>≥</w:t>
      </w:r>
      <w:r w:rsidRPr="00633FEA">
        <w:rPr>
          <w:rFonts w:asciiTheme="minorEastAsia" w:eastAsiaTheme="minorEastAsia" w:hAnsiTheme="minorEastAsia" w:cs="宋体" w:hint="eastAsia"/>
          <w:shd w:val="clear" w:color="auto" w:fill="D9D9D9"/>
          <w:lang w:eastAsia="zh-CN"/>
        </w:rPr>
        <w:t>INTEL XEON E5-2690v4×2；</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*3、内存：</w:t>
      </w:r>
      <w:r w:rsidRPr="00633FEA">
        <w:rPr>
          <w:rFonts w:asciiTheme="minorEastAsia" w:eastAsiaTheme="minorEastAsia" w:hAnsiTheme="minorEastAsia" w:cs="宋体"/>
          <w:shd w:val="clear" w:color="auto" w:fill="D9D9D9"/>
          <w:lang w:eastAsia="zh-CN"/>
        </w:rPr>
        <w:t>≥</w:t>
      </w:r>
      <w:r w:rsidRPr="00633FEA">
        <w:rPr>
          <w:rFonts w:asciiTheme="minorEastAsia" w:eastAsiaTheme="minorEastAsia" w:hAnsiTheme="minorEastAsia" w:cs="宋体" w:hint="eastAsia"/>
          <w:shd w:val="clear" w:color="auto" w:fill="D9D9D9"/>
          <w:lang w:eastAsia="zh-CN"/>
        </w:rPr>
        <w:t>2×16G；</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*4、硬盘：</w:t>
      </w:r>
      <w:r w:rsidRPr="00633FEA">
        <w:rPr>
          <w:rFonts w:asciiTheme="minorEastAsia" w:eastAsiaTheme="minorEastAsia" w:hAnsiTheme="minorEastAsia" w:cs="宋体"/>
          <w:shd w:val="clear" w:color="auto" w:fill="D9D9D9"/>
          <w:lang w:eastAsia="zh-CN"/>
        </w:rPr>
        <w:t>≥</w:t>
      </w:r>
      <w:r w:rsidRPr="00633FEA">
        <w:rPr>
          <w:rFonts w:asciiTheme="minorEastAsia" w:eastAsiaTheme="minorEastAsia" w:hAnsiTheme="minorEastAsia" w:cs="宋体" w:hint="eastAsia"/>
          <w:shd w:val="clear" w:color="auto" w:fill="D9D9D9"/>
          <w:lang w:eastAsia="zh-CN"/>
        </w:rPr>
        <w:t>3×300G+3×2T；</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*5、R5 550W电源；</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*6、热插拔 RAID:0 1。</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（二）图形显示器</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*1、显示器面板：</w:t>
      </w:r>
      <w:proofErr w:type="spellStart"/>
      <w:r w:rsidRPr="00633FEA">
        <w:rPr>
          <w:rFonts w:asciiTheme="minorEastAsia" w:eastAsiaTheme="minorEastAsia" w:hAnsiTheme="minorEastAsia" w:cs="宋体" w:hint="eastAsia"/>
          <w:shd w:val="clear" w:color="auto" w:fill="D9D9D9"/>
          <w:lang w:eastAsia="zh-CN"/>
        </w:rPr>
        <w:t>ips</w:t>
      </w:r>
      <w:proofErr w:type="spellEnd"/>
      <w:r w:rsidRPr="00633FEA">
        <w:rPr>
          <w:rFonts w:asciiTheme="minorEastAsia" w:eastAsiaTheme="minorEastAsia" w:hAnsiTheme="minorEastAsia" w:cs="宋体" w:hint="eastAsia"/>
          <w:shd w:val="clear" w:color="auto" w:fill="D9D9D9"/>
          <w:lang w:eastAsia="zh-CN"/>
        </w:rPr>
        <w:t>；</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*2、尺寸：27英寸；</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3、显示比例：16：9，多功能底座；</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4、接口：VGA,DP,HDMI,USB；</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*5、分辨率：</w:t>
      </w:r>
      <w:r w:rsidRPr="00633FEA">
        <w:rPr>
          <w:rFonts w:asciiTheme="minorEastAsia" w:eastAsiaTheme="minorEastAsia" w:hAnsiTheme="minorEastAsia" w:cs="宋体"/>
          <w:shd w:val="clear" w:color="auto" w:fill="D9D9D9"/>
          <w:lang w:eastAsia="zh-CN"/>
        </w:rPr>
        <w:t>≥</w:t>
      </w:r>
      <w:r w:rsidRPr="00633FEA">
        <w:rPr>
          <w:rFonts w:asciiTheme="minorEastAsia" w:eastAsiaTheme="minorEastAsia" w:hAnsiTheme="minorEastAsia" w:cs="宋体" w:hint="eastAsia"/>
          <w:shd w:val="clear" w:color="auto" w:fill="D9D9D9"/>
          <w:lang w:eastAsia="zh-CN"/>
        </w:rPr>
        <w:t>4K；</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lastRenderedPageBreak/>
        <w:t>6、对比度：静态</w:t>
      </w:r>
      <w:r w:rsidRPr="00633FEA">
        <w:rPr>
          <w:rFonts w:asciiTheme="minorEastAsia" w:eastAsiaTheme="minorEastAsia" w:hAnsiTheme="minorEastAsia" w:cs="宋体"/>
          <w:shd w:val="clear" w:color="auto" w:fill="D9D9D9"/>
          <w:lang w:eastAsia="zh-CN"/>
        </w:rPr>
        <w:t>≥</w:t>
      </w:r>
      <w:r w:rsidRPr="00633FEA">
        <w:rPr>
          <w:rFonts w:asciiTheme="minorEastAsia" w:eastAsiaTheme="minorEastAsia" w:hAnsiTheme="minorEastAsia" w:cs="宋体" w:hint="eastAsia"/>
          <w:shd w:val="clear" w:color="auto" w:fill="D9D9D9"/>
          <w:lang w:eastAsia="zh-CN"/>
        </w:rPr>
        <w:t>1000：1；</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7、可视角度：178/178°；</w:t>
      </w:r>
    </w:p>
    <w:p w:rsidR="00645D11" w:rsidRPr="00633FEA" w:rsidRDefault="00645D11" w:rsidP="00645D11">
      <w:pPr>
        <w:pStyle w:val="a5"/>
        <w:spacing w:line="360" w:lineRule="auto"/>
        <w:ind w:firstLineChars="200" w:firstLine="480"/>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hd w:val="clear" w:color="auto" w:fill="D9D9D9"/>
          <w:lang w:eastAsia="zh-CN"/>
        </w:rPr>
        <w:t>8、亮度：</w:t>
      </w:r>
      <w:r w:rsidRPr="00633FEA">
        <w:rPr>
          <w:rFonts w:asciiTheme="minorEastAsia" w:eastAsiaTheme="minorEastAsia" w:hAnsiTheme="minorEastAsia" w:cs="宋体"/>
          <w:shd w:val="clear" w:color="auto" w:fill="D9D9D9"/>
          <w:lang w:eastAsia="zh-CN"/>
        </w:rPr>
        <w:t>≥</w:t>
      </w:r>
      <w:r w:rsidRPr="00633FEA">
        <w:rPr>
          <w:rFonts w:asciiTheme="minorEastAsia" w:eastAsiaTheme="minorEastAsia" w:hAnsiTheme="minorEastAsia" w:cs="宋体" w:hint="eastAsia"/>
          <w:shd w:val="clear" w:color="auto" w:fill="D9D9D9"/>
          <w:lang w:eastAsia="zh-CN"/>
        </w:rPr>
        <w:t>400CD/平米。</w:t>
      </w:r>
    </w:p>
    <w:p w:rsidR="00645D11" w:rsidRPr="002D7FAD" w:rsidRDefault="00645D11" w:rsidP="00645D11">
      <w:pPr>
        <w:spacing w:line="360" w:lineRule="auto"/>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四</w:t>
      </w:r>
      <w:r w:rsidRPr="002D7FAD">
        <w:rPr>
          <w:rFonts w:asciiTheme="minorEastAsia" w:eastAsiaTheme="minorEastAsia" w:hAnsiTheme="minorEastAsia" w:hint="eastAsia"/>
          <w:b/>
          <w:sz w:val="24"/>
          <w:szCs w:val="24"/>
          <w:lang w:eastAsia="zh-CN"/>
        </w:rPr>
        <w:t>、商务要求</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hint="eastAsia"/>
          <w:lang w:eastAsia="zh-CN"/>
        </w:rPr>
        <w:t>*1</w:t>
      </w:r>
      <w:r w:rsidRPr="00910FBC">
        <w:rPr>
          <w:rFonts w:asciiTheme="minorEastAsia" w:eastAsiaTheme="minorEastAsia" w:hAnsiTheme="minorEastAsia" w:cs="宋体" w:hint="eastAsia"/>
          <w:lang w:eastAsia="zh-CN"/>
        </w:rPr>
        <w:t>、投标报价：</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cs="宋体" w:hint="eastAsia"/>
          <w:lang w:eastAsia="zh-CN"/>
        </w:rPr>
        <w:t>（</w:t>
      </w:r>
      <w:r w:rsidRPr="00910FBC">
        <w:rPr>
          <w:rFonts w:asciiTheme="minorEastAsia" w:eastAsiaTheme="minorEastAsia" w:hAnsiTheme="minorEastAsia"/>
          <w:lang w:eastAsia="zh-CN"/>
        </w:rPr>
        <w:t>1</w:t>
      </w:r>
      <w:r w:rsidRPr="00910FBC">
        <w:rPr>
          <w:rFonts w:asciiTheme="minorEastAsia" w:eastAsiaTheme="minorEastAsia" w:hAnsiTheme="minorEastAsia" w:cs="宋体" w:hint="eastAsia"/>
          <w:lang w:eastAsia="zh-CN"/>
        </w:rPr>
        <w:t>）投标人投标报价包含本项目招标的设备、软件、信息集成、技术支持、售后服务、培训、运输、保险及各种税金等所有费用。</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cs="宋体" w:hint="eastAsia"/>
          <w:lang w:eastAsia="zh-CN"/>
        </w:rPr>
        <w:t>（</w:t>
      </w:r>
      <w:r w:rsidRPr="00910FBC">
        <w:rPr>
          <w:rFonts w:asciiTheme="minorEastAsia" w:eastAsiaTheme="minorEastAsia" w:hAnsiTheme="minorEastAsia"/>
          <w:lang w:eastAsia="zh-CN"/>
        </w:rPr>
        <w:t>2</w:t>
      </w:r>
      <w:r w:rsidRPr="00910FBC">
        <w:rPr>
          <w:rFonts w:asciiTheme="minorEastAsia" w:eastAsiaTheme="minorEastAsia" w:hAnsiTheme="minorEastAsia" w:cs="宋体" w:hint="eastAsia"/>
          <w:lang w:eastAsia="zh-CN"/>
        </w:rPr>
        <w:t>）本项目总预算</w:t>
      </w:r>
      <w:r w:rsidRPr="00910FBC">
        <w:rPr>
          <w:rFonts w:asciiTheme="minorEastAsia" w:eastAsiaTheme="minorEastAsia" w:hAnsiTheme="minorEastAsia"/>
          <w:lang w:eastAsia="zh-CN"/>
        </w:rPr>
        <w:t xml:space="preserve"> </w:t>
      </w:r>
      <w:r w:rsidRPr="00910FBC">
        <w:rPr>
          <w:rFonts w:asciiTheme="minorEastAsia" w:eastAsiaTheme="minorEastAsia" w:hAnsiTheme="minorEastAsia"/>
          <w:shd w:val="clear" w:color="auto" w:fill="D9D9D9"/>
          <w:lang w:eastAsia="zh-CN"/>
        </w:rPr>
        <w:t>120</w:t>
      </w:r>
      <w:r w:rsidRPr="00910FBC">
        <w:rPr>
          <w:rFonts w:asciiTheme="minorEastAsia" w:eastAsiaTheme="minorEastAsia" w:hAnsiTheme="minorEastAsia"/>
          <w:lang w:eastAsia="zh-CN"/>
        </w:rPr>
        <w:t xml:space="preserve"> </w:t>
      </w:r>
      <w:r w:rsidRPr="00910FBC">
        <w:rPr>
          <w:rFonts w:asciiTheme="minorEastAsia" w:eastAsiaTheme="minorEastAsia" w:hAnsiTheme="minorEastAsia" w:cs="宋体" w:hint="eastAsia"/>
          <w:lang w:eastAsia="zh-CN"/>
        </w:rPr>
        <w:t>万元，投标人投标报价超过预算的为无效投标。</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hint="eastAsia"/>
          <w:lang w:eastAsia="zh-CN"/>
        </w:rPr>
        <w:t>*2</w:t>
      </w:r>
      <w:r w:rsidRPr="00910FBC">
        <w:rPr>
          <w:rFonts w:asciiTheme="minorEastAsia" w:eastAsiaTheme="minorEastAsia" w:hAnsiTheme="minorEastAsia" w:cs="宋体" w:hint="eastAsia"/>
          <w:lang w:eastAsia="zh-CN"/>
        </w:rPr>
        <w:t>、项目实施完工时间：自合同签订后</w:t>
      </w:r>
      <w:r w:rsidRPr="00633FEA">
        <w:rPr>
          <w:rFonts w:asciiTheme="minorEastAsia" w:eastAsiaTheme="minorEastAsia" w:hAnsiTheme="minorEastAsia"/>
          <w:shd w:val="clear" w:color="auto" w:fill="D9D9D9"/>
          <w:lang w:eastAsia="zh-CN"/>
        </w:rPr>
        <w:t xml:space="preserve"> 30</w:t>
      </w:r>
      <w:r w:rsidRPr="00910FBC">
        <w:rPr>
          <w:rFonts w:asciiTheme="minorEastAsia" w:eastAsiaTheme="minorEastAsia" w:hAnsiTheme="minorEastAsia"/>
          <w:lang w:eastAsia="zh-CN"/>
        </w:rPr>
        <w:t xml:space="preserve"> </w:t>
      </w:r>
      <w:r w:rsidRPr="00910FBC">
        <w:rPr>
          <w:rFonts w:asciiTheme="minorEastAsia" w:eastAsiaTheme="minorEastAsia" w:hAnsiTheme="minorEastAsia" w:cs="宋体" w:hint="eastAsia"/>
          <w:lang w:eastAsia="zh-CN"/>
        </w:rPr>
        <w:t>个工作日内安装完毕并交付使用。</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hint="eastAsia"/>
          <w:lang w:eastAsia="zh-CN"/>
        </w:rPr>
        <w:t>3</w:t>
      </w:r>
      <w:r w:rsidRPr="00910FBC">
        <w:rPr>
          <w:rFonts w:asciiTheme="minorEastAsia" w:eastAsiaTheme="minorEastAsia" w:hAnsiTheme="minorEastAsia" w:cs="宋体" w:hint="eastAsia"/>
          <w:lang w:eastAsia="zh-CN"/>
        </w:rPr>
        <w:t>、项目实施地点：</w:t>
      </w:r>
      <w:r>
        <w:rPr>
          <w:rFonts w:asciiTheme="minorEastAsia" w:eastAsiaTheme="minorEastAsia" w:hAnsiTheme="minorEastAsia" w:cs="宋体" w:hint="eastAsia"/>
          <w:lang w:eastAsia="zh-CN"/>
        </w:rPr>
        <w:t>石家庄铁路</w:t>
      </w:r>
      <w:r w:rsidRPr="00910FBC">
        <w:rPr>
          <w:rFonts w:asciiTheme="minorEastAsia" w:eastAsiaTheme="minorEastAsia" w:hAnsiTheme="minorEastAsia" w:cs="宋体" w:hint="eastAsia"/>
          <w:lang w:eastAsia="zh-CN"/>
        </w:rPr>
        <w:t>职业技术学院指定地点。</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hint="eastAsia"/>
          <w:lang w:eastAsia="zh-CN"/>
        </w:rPr>
        <w:t>4</w:t>
      </w:r>
      <w:r w:rsidRPr="00910FBC">
        <w:rPr>
          <w:rFonts w:asciiTheme="minorEastAsia" w:eastAsiaTheme="minorEastAsia" w:hAnsiTheme="minorEastAsia" w:cs="宋体" w:hint="eastAsia"/>
          <w:lang w:eastAsia="zh-CN"/>
        </w:rPr>
        <w:t>、项目验收：项目实施完成后由采购人负责组织验收。</w:t>
      </w:r>
    </w:p>
    <w:p w:rsidR="00645D11" w:rsidRPr="00633FEA" w:rsidRDefault="00645D11" w:rsidP="00645D11">
      <w:pPr>
        <w:pStyle w:val="a5"/>
        <w:spacing w:line="360" w:lineRule="auto"/>
        <w:ind w:firstLineChars="200" w:firstLine="436"/>
        <w:rPr>
          <w:rFonts w:asciiTheme="minorEastAsia" w:eastAsiaTheme="minorEastAsia" w:hAnsiTheme="minorEastAsia" w:cs="宋体"/>
          <w:spacing w:val="-11"/>
          <w:lang w:eastAsia="zh-CN"/>
        </w:rPr>
      </w:pPr>
      <w:r w:rsidRPr="00633FEA">
        <w:rPr>
          <w:rFonts w:asciiTheme="minorEastAsia" w:eastAsiaTheme="minorEastAsia" w:hAnsiTheme="minorEastAsia" w:cs="宋体" w:hint="eastAsia"/>
          <w:spacing w:val="-11"/>
          <w:lang w:eastAsia="zh-CN"/>
        </w:rPr>
        <w:t>5</w:t>
      </w:r>
      <w:r w:rsidRPr="00910FBC">
        <w:rPr>
          <w:rFonts w:asciiTheme="minorEastAsia" w:eastAsiaTheme="minorEastAsia" w:hAnsiTheme="minorEastAsia" w:cs="宋体" w:hint="eastAsia"/>
          <w:spacing w:val="-11"/>
          <w:lang w:eastAsia="zh-CN"/>
        </w:rPr>
        <w:t>、付款方式：</w:t>
      </w:r>
      <w:r w:rsidRPr="00633FEA">
        <w:rPr>
          <w:rFonts w:asciiTheme="minorEastAsia" w:eastAsiaTheme="minorEastAsia" w:hAnsiTheme="minorEastAsia" w:cs="宋体" w:hint="eastAsia"/>
          <w:spacing w:val="-11"/>
          <w:lang w:eastAsia="zh-CN"/>
        </w:rPr>
        <w:t>签订合同后，待全部货物安装调试完毕并经采购人验收合格后，采购方支付全部货款。</w:t>
      </w:r>
    </w:p>
    <w:p w:rsidR="00645D11" w:rsidRPr="00633FEA" w:rsidRDefault="00645D11" w:rsidP="00645D11">
      <w:pPr>
        <w:pStyle w:val="a5"/>
        <w:spacing w:line="360" w:lineRule="auto"/>
        <w:ind w:firstLineChars="200" w:firstLine="436"/>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pacing w:val="-11"/>
          <w:lang w:eastAsia="zh-CN"/>
        </w:rPr>
        <w:t>6、售后服务：</w:t>
      </w:r>
      <w:r w:rsidRPr="00633FEA">
        <w:rPr>
          <w:rFonts w:asciiTheme="minorEastAsia" w:eastAsiaTheme="minorEastAsia" w:hAnsiTheme="minorEastAsia" w:cs="宋体" w:hint="eastAsia"/>
          <w:shd w:val="clear" w:color="auto" w:fill="D9D9D9"/>
          <w:lang w:eastAsia="zh-CN"/>
        </w:rPr>
        <w:t>产品免费质保期：生产厂商的原厂质保</w:t>
      </w:r>
      <w:r w:rsidRPr="00633FEA">
        <w:rPr>
          <w:rFonts w:asciiTheme="minorEastAsia" w:eastAsiaTheme="minorEastAsia" w:hAnsiTheme="minorEastAsia" w:cs="宋体"/>
          <w:shd w:val="clear" w:color="auto" w:fill="D9D9D9"/>
          <w:lang w:eastAsia="zh-CN"/>
        </w:rPr>
        <w:t xml:space="preserve"> 3 </w:t>
      </w:r>
      <w:r w:rsidRPr="00633FEA">
        <w:rPr>
          <w:rFonts w:asciiTheme="minorEastAsia" w:eastAsiaTheme="minorEastAsia" w:hAnsiTheme="minorEastAsia" w:cs="宋体" w:hint="eastAsia"/>
          <w:shd w:val="clear" w:color="auto" w:fill="D9D9D9"/>
          <w:lang w:eastAsia="zh-CN"/>
        </w:rPr>
        <w:t>年产品故障响应时间：质保期内，中标人安排专人负责免费维护，设备出现故障中标人应在</w:t>
      </w:r>
      <w:r w:rsidRPr="00633FEA">
        <w:rPr>
          <w:rFonts w:asciiTheme="minorEastAsia" w:eastAsiaTheme="minorEastAsia" w:hAnsiTheme="minorEastAsia" w:cs="宋体"/>
          <w:shd w:val="clear" w:color="auto" w:fill="D9D9D9"/>
          <w:lang w:eastAsia="zh-CN"/>
        </w:rPr>
        <w:t xml:space="preserve"> 8 </w:t>
      </w:r>
      <w:r w:rsidRPr="00633FEA">
        <w:rPr>
          <w:rFonts w:asciiTheme="minorEastAsia" w:eastAsiaTheme="minorEastAsia" w:hAnsiTheme="minorEastAsia" w:cs="宋体" w:hint="eastAsia"/>
          <w:shd w:val="clear" w:color="auto" w:fill="D9D9D9"/>
          <w:lang w:eastAsia="zh-CN"/>
        </w:rPr>
        <w:t>小时内做出响应，</w:t>
      </w:r>
      <w:r w:rsidRPr="00633FEA">
        <w:rPr>
          <w:rFonts w:asciiTheme="minorEastAsia" w:eastAsiaTheme="minorEastAsia" w:hAnsiTheme="minorEastAsia" w:cs="宋体"/>
          <w:shd w:val="clear" w:color="auto" w:fill="D9D9D9"/>
          <w:lang w:eastAsia="zh-CN"/>
        </w:rPr>
        <w:t xml:space="preserve">24 </w:t>
      </w:r>
      <w:r w:rsidRPr="00633FEA">
        <w:rPr>
          <w:rFonts w:asciiTheme="minorEastAsia" w:eastAsiaTheme="minorEastAsia" w:hAnsiTheme="minorEastAsia" w:cs="宋体" w:hint="eastAsia"/>
          <w:shd w:val="clear" w:color="auto" w:fill="D9D9D9"/>
          <w:lang w:eastAsia="zh-CN"/>
        </w:rPr>
        <w:t>小时内派专业技术人员到现场进行维护，</w:t>
      </w:r>
      <w:r w:rsidRPr="00633FEA">
        <w:rPr>
          <w:rFonts w:asciiTheme="minorEastAsia" w:eastAsiaTheme="minorEastAsia" w:hAnsiTheme="minorEastAsia" w:cs="宋体"/>
          <w:shd w:val="clear" w:color="auto" w:fill="D9D9D9"/>
          <w:lang w:eastAsia="zh-CN"/>
        </w:rPr>
        <w:t xml:space="preserve">48 </w:t>
      </w:r>
      <w:r w:rsidRPr="00633FEA">
        <w:rPr>
          <w:rFonts w:asciiTheme="minorEastAsia" w:eastAsiaTheme="minorEastAsia" w:hAnsiTheme="minorEastAsia" w:cs="宋体" w:hint="eastAsia"/>
          <w:shd w:val="clear" w:color="auto" w:fill="D9D9D9"/>
          <w:lang w:eastAsia="zh-CN"/>
        </w:rPr>
        <w:t>小时内解决问题，故障不能按时排除应提供备用机。</w:t>
      </w:r>
    </w:p>
    <w:p w:rsidR="00645D11" w:rsidRPr="00633FEA" w:rsidRDefault="00645D11" w:rsidP="00645D11">
      <w:pPr>
        <w:pStyle w:val="a5"/>
        <w:spacing w:line="360" w:lineRule="auto"/>
        <w:ind w:firstLineChars="200" w:firstLine="436"/>
        <w:rPr>
          <w:rFonts w:asciiTheme="minorEastAsia" w:eastAsiaTheme="minorEastAsia" w:hAnsiTheme="minorEastAsia" w:cs="宋体"/>
          <w:shd w:val="clear" w:color="auto" w:fill="D9D9D9"/>
          <w:lang w:eastAsia="zh-CN"/>
        </w:rPr>
      </w:pPr>
      <w:r w:rsidRPr="00633FEA">
        <w:rPr>
          <w:rFonts w:asciiTheme="minorEastAsia" w:eastAsiaTheme="minorEastAsia" w:hAnsiTheme="minorEastAsia" w:cs="宋体" w:hint="eastAsia"/>
          <w:spacing w:val="-11"/>
          <w:lang w:eastAsia="zh-CN"/>
        </w:rPr>
        <w:t xml:space="preserve"> 7、培训：</w:t>
      </w:r>
      <w:r w:rsidRPr="00633FEA">
        <w:rPr>
          <w:rFonts w:asciiTheme="minorEastAsia" w:eastAsiaTheme="minorEastAsia" w:hAnsiTheme="minorEastAsia" w:cs="宋体" w:hint="eastAsia"/>
          <w:shd w:val="clear" w:color="auto" w:fill="D9D9D9"/>
          <w:lang w:eastAsia="zh-CN"/>
        </w:rPr>
        <w:t>提供不少于三次的原厂技术培训。</w:t>
      </w:r>
    </w:p>
    <w:p w:rsidR="00645D11" w:rsidRPr="00DA35E3" w:rsidRDefault="00645D11" w:rsidP="00645D11">
      <w:pPr>
        <w:pStyle w:val="a5"/>
        <w:spacing w:line="360" w:lineRule="auto"/>
        <w:ind w:firstLineChars="200" w:firstLine="480"/>
        <w:rPr>
          <w:rFonts w:asciiTheme="minorEastAsia" w:eastAsiaTheme="minorEastAsia" w:hAnsiTheme="minorEastAsia"/>
          <w:color w:val="000000" w:themeColor="text1"/>
          <w:lang w:eastAsia="zh-CN"/>
        </w:rPr>
      </w:pPr>
      <w:r w:rsidRPr="00910FBC">
        <w:rPr>
          <w:rFonts w:asciiTheme="minorEastAsia" w:eastAsiaTheme="minorEastAsia" w:hAnsiTheme="minorEastAsia" w:hint="eastAsia"/>
          <w:lang w:eastAsia="zh-CN"/>
        </w:rPr>
        <w:t>*8</w:t>
      </w:r>
      <w:r w:rsidRPr="00910FBC">
        <w:rPr>
          <w:rFonts w:asciiTheme="minorEastAsia" w:eastAsiaTheme="minorEastAsia" w:hAnsiTheme="minorEastAsia" w:cs="宋体" w:hint="eastAsia"/>
          <w:lang w:eastAsia="zh-CN"/>
        </w:rPr>
        <w:t>、</w:t>
      </w:r>
      <w:r w:rsidRPr="00DA35E3">
        <w:rPr>
          <w:rFonts w:asciiTheme="minorEastAsia" w:eastAsiaTheme="minorEastAsia" w:hAnsiTheme="minorEastAsia" w:hint="eastAsia"/>
          <w:color w:val="000000" w:themeColor="text1"/>
          <w:lang w:eastAsia="zh-CN"/>
        </w:rPr>
        <w:t>现场勘查</w:t>
      </w:r>
      <w:r>
        <w:rPr>
          <w:rFonts w:asciiTheme="minorEastAsia" w:eastAsiaTheme="minorEastAsia" w:hAnsiTheme="minorEastAsia" w:hint="eastAsia"/>
          <w:color w:val="000000" w:themeColor="text1"/>
          <w:lang w:eastAsia="zh-CN"/>
        </w:rPr>
        <w:t>：</w:t>
      </w:r>
    </w:p>
    <w:p w:rsidR="00645D11" w:rsidRPr="00633FEA" w:rsidRDefault="00645D11" w:rsidP="00645D11">
      <w:pPr>
        <w:tabs>
          <w:tab w:val="left" w:pos="8280"/>
        </w:tabs>
        <w:spacing w:line="360" w:lineRule="auto"/>
        <w:ind w:firstLineChars="200" w:firstLine="440"/>
        <w:rPr>
          <w:rFonts w:asciiTheme="minorEastAsia" w:eastAsiaTheme="minorEastAsia" w:hAnsiTheme="minorEastAsia"/>
          <w:color w:val="000000" w:themeColor="text1"/>
          <w:szCs w:val="24"/>
          <w:lang w:eastAsia="zh-CN"/>
        </w:rPr>
      </w:pPr>
      <w:r w:rsidRPr="00633FEA">
        <w:rPr>
          <w:rFonts w:asciiTheme="minorEastAsia" w:eastAsiaTheme="minorEastAsia" w:hAnsiTheme="minorEastAsia" w:hint="eastAsia"/>
          <w:color w:val="000000" w:themeColor="text1"/>
          <w:szCs w:val="24"/>
          <w:lang w:eastAsia="zh-CN"/>
        </w:rPr>
        <w:t>所有投标人必须进行现场勘查，如不参加现场勘查，则视为无效投标。各投标人根据现场勘查情况，自行设计和计算配置需求，由于设计遗漏或缺陷引起的任何项目增加，所产生的费用由投标人完全承担。</w:t>
      </w:r>
    </w:p>
    <w:p w:rsidR="00645D11" w:rsidRPr="00633FEA" w:rsidRDefault="00645D11" w:rsidP="00645D11">
      <w:pPr>
        <w:tabs>
          <w:tab w:val="left" w:pos="8280"/>
        </w:tabs>
        <w:spacing w:line="360" w:lineRule="auto"/>
        <w:ind w:firstLineChars="200" w:firstLine="440"/>
        <w:rPr>
          <w:rFonts w:asciiTheme="minorEastAsia" w:eastAsiaTheme="minorEastAsia" w:hAnsiTheme="minorEastAsia"/>
          <w:color w:val="000000" w:themeColor="text1"/>
          <w:szCs w:val="24"/>
          <w:lang w:eastAsia="zh-CN"/>
        </w:rPr>
      </w:pPr>
      <w:r w:rsidRPr="00633FEA">
        <w:rPr>
          <w:rFonts w:asciiTheme="minorEastAsia" w:eastAsiaTheme="minorEastAsia" w:hAnsiTheme="minorEastAsia" w:hint="eastAsia"/>
          <w:color w:val="000000" w:themeColor="text1"/>
          <w:szCs w:val="24"/>
          <w:lang w:eastAsia="zh-CN"/>
        </w:rPr>
        <w:t>勘查报道地点：石家庄铁路职业技术学院学府路校区。</w:t>
      </w:r>
    </w:p>
    <w:p w:rsidR="00645D11" w:rsidRPr="00633FEA" w:rsidRDefault="00645D11" w:rsidP="00645D11">
      <w:pPr>
        <w:tabs>
          <w:tab w:val="left" w:pos="8280"/>
        </w:tabs>
        <w:spacing w:line="360" w:lineRule="auto"/>
        <w:ind w:firstLineChars="200" w:firstLine="440"/>
        <w:rPr>
          <w:rFonts w:asciiTheme="minorEastAsia" w:eastAsiaTheme="minorEastAsia" w:hAnsiTheme="minorEastAsia"/>
          <w:color w:val="000000" w:themeColor="text1"/>
          <w:szCs w:val="24"/>
          <w:lang w:eastAsia="zh-CN"/>
        </w:rPr>
      </w:pPr>
      <w:r w:rsidRPr="00633FEA">
        <w:rPr>
          <w:rFonts w:asciiTheme="minorEastAsia" w:eastAsiaTheme="minorEastAsia" w:hAnsiTheme="minorEastAsia" w:hint="eastAsia"/>
          <w:color w:val="000000" w:themeColor="text1"/>
          <w:szCs w:val="24"/>
          <w:lang w:eastAsia="zh-CN"/>
        </w:rPr>
        <w:t>联系人及电话：</w:t>
      </w:r>
    </w:p>
    <w:p w:rsidR="00645D11" w:rsidRPr="00633FEA" w:rsidRDefault="00645D11" w:rsidP="00645D11">
      <w:pPr>
        <w:tabs>
          <w:tab w:val="left" w:pos="8280"/>
        </w:tabs>
        <w:spacing w:line="360" w:lineRule="auto"/>
        <w:ind w:firstLineChars="200" w:firstLine="440"/>
        <w:rPr>
          <w:rFonts w:asciiTheme="minorEastAsia" w:eastAsiaTheme="minorEastAsia" w:hAnsiTheme="minorEastAsia"/>
          <w:color w:val="000000" w:themeColor="text1"/>
          <w:szCs w:val="24"/>
          <w:lang w:eastAsia="zh-CN"/>
        </w:rPr>
      </w:pPr>
      <w:r w:rsidRPr="00633FEA">
        <w:rPr>
          <w:rFonts w:asciiTheme="minorEastAsia" w:eastAsiaTheme="minorEastAsia" w:hAnsiTheme="minorEastAsia" w:hint="eastAsia"/>
          <w:color w:val="000000" w:themeColor="text1"/>
          <w:szCs w:val="24"/>
          <w:lang w:eastAsia="zh-CN"/>
        </w:rPr>
        <w:t>勘查时间：    年   月    日</w:t>
      </w:r>
    </w:p>
    <w:p w:rsidR="00645D11" w:rsidRPr="00633FEA" w:rsidRDefault="00645D11" w:rsidP="00645D11">
      <w:pPr>
        <w:tabs>
          <w:tab w:val="left" w:pos="8280"/>
        </w:tabs>
        <w:spacing w:line="360" w:lineRule="auto"/>
        <w:ind w:firstLineChars="200" w:firstLine="440"/>
        <w:rPr>
          <w:rFonts w:asciiTheme="minorEastAsia" w:eastAsiaTheme="minorEastAsia" w:hAnsiTheme="minorEastAsia"/>
          <w:color w:val="000000" w:themeColor="text1"/>
          <w:szCs w:val="24"/>
          <w:lang w:eastAsia="zh-CN"/>
        </w:rPr>
      </w:pPr>
      <w:r w:rsidRPr="00633FEA">
        <w:rPr>
          <w:rFonts w:asciiTheme="minorEastAsia" w:eastAsiaTheme="minorEastAsia" w:hAnsiTheme="minorEastAsia" w:hint="eastAsia"/>
          <w:color w:val="000000" w:themeColor="text1"/>
          <w:szCs w:val="24"/>
          <w:lang w:eastAsia="zh-CN"/>
        </w:rPr>
        <w:t>勘查完毕领取采购人确认的现场勘查证明，作为参加现场勘查凭证。投标人在投标时若无采购人确认的现场勘查证明，视为无效投标。投标人勘查现场时应提交现场勘查人员身份证原件及法定代表人委托书（法人到现场无需提供），否则采购人不予出具现场勘查证明。</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cs="宋体" w:hint="eastAsia"/>
          <w:lang w:eastAsia="zh-CN"/>
        </w:rPr>
        <w:lastRenderedPageBreak/>
        <w:t>注：以上商务要求中标</w:t>
      </w:r>
      <w:r w:rsidRPr="00910FBC">
        <w:rPr>
          <w:rFonts w:asciiTheme="minorEastAsia" w:eastAsiaTheme="minorEastAsia" w:hAnsiTheme="minorEastAsia" w:hint="eastAsia"/>
          <w:lang w:eastAsia="zh-CN"/>
        </w:rPr>
        <w:t>*</w:t>
      </w:r>
      <w:r w:rsidRPr="00910FBC">
        <w:rPr>
          <w:rFonts w:asciiTheme="minorEastAsia" w:eastAsiaTheme="minorEastAsia" w:hAnsiTheme="minorEastAsia" w:cs="宋体" w:hint="eastAsia"/>
          <w:lang w:eastAsia="zh-CN"/>
        </w:rPr>
        <w:t>的商务要求为重要条款，投标人不满足或未完全响应即为无效投标，但可以高于招标文件的要求。</w:t>
      </w:r>
    </w:p>
    <w:p w:rsidR="00645D11" w:rsidRPr="002D7FAD" w:rsidRDefault="00645D11" w:rsidP="00645D11">
      <w:pPr>
        <w:spacing w:line="360" w:lineRule="auto"/>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五</w:t>
      </w:r>
      <w:r w:rsidRPr="002D7FAD">
        <w:rPr>
          <w:rFonts w:asciiTheme="minorEastAsia" w:eastAsiaTheme="minorEastAsia" w:hAnsiTheme="minorEastAsia" w:hint="eastAsia"/>
          <w:b/>
          <w:sz w:val="24"/>
          <w:szCs w:val="24"/>
          <w:lang w:eastAsia="zh-CN"/>
        </w:rPr>
        <w:t>、投标资质要求</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cs="宋体" w:hint="eastAsia"/>
          <w:lang w:eastAsia="zh-CN"/>
        </w:rPr>
        <w:t>投标人必须符合《政府采购法》第二十二条规定的基本条件，具备承担和实施本项目的相应营业范围和能力。投标时提交投标人营业执照原件。</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cs="宋体" w:hint="eastAsia"/>
          <w:lang w:eastAsia="zh-CN"/>
        </w:rPr>
        <w:t>注：以上要求提交原件的资质资料，投标人也可在投标时提供公证过的复印件（即原件与复印件相符的公证书），未提供资质资料原件也未提交公证书的为无效投标。</w:t>
      </w:r>
    </w:p>
    <w:p w:rsidR="00645D11" w:rsidRPr="002D7FAD" w:rsidRDefault="00645D11" w:rsidP="00645D11">
      <w:pPr>
        <w:spacing w:line="360" w:lineRule="auto"/>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六</w:t>
      </w:r>
      <w:r w:rsidRPr="002D7FAD">
        <w:rPr>
          <w:rFonts w:asciiTheme="minorEastAsia" w:eastAsiaTheme="minorEastAsia" w:hAnsiTheme="minorEastAsia" w:hint="eastAsia"/>
          <w:b/>
          <w:sz w:val="24"/>
          <w:szCs w:val="24"/>
          <w:lang w:eastAsia="zh-CN"/>
        </w:rPr>
        <w:t>、同类业绩</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cs="宋体" w:hint="eastAsia"/>
          <w:lang w:eastAsia="zh-CN"/>
        </w:rPr>
        <w:t>投标人投标时提交以下资料的原件或原件与复印件相符的公证书，未提供者不作为无效投标，但在相应评分标准中不予计分。</w:t>
      </w:r>
    </w:p>
    <w:p w:rsidR="00645D11" w:rsidRPr="00910FBC" w:rsidRDefault="00645D11" w:rsidP="00645D11">
      <w:pPr>
        <w:pStyle w:val="a5"/>
        <w:spacing w:line="360" w:lineRule="auto"/>
        <w:ind w:firstLineChars="200" w:firstLine="480"/>
        <w:rPr>
          <w:rFonts w:asciiTheme="minorEastAsia" w:eastAsiaTheme="minorEastAsia" w:hAnsiTheme="minorEastAsia"/>
          <w:lang w:eastAsia="zh-CN"/>
        </w:rPr>
      </w:pPr>
      <w:r w:rsidRPr="00910FBC">
        <w:rPr>
          <w:rFonts w:asciiTheme="minorEastAsia" w:eastAsiaTheme="minorEastAsia" w:hAnsiTheme="minorEastAsia" w:cs="宋体" w:hint="eastAsia"/>
          <w:lang w:eastAsia="zh-CN"/>
        </w:rPr>
        <w:t>同类业绩：</w:t>
      </w:r>
    </w:p>
    <w:p w:rsidR="00645D11" w:rsidRPr="00910FBC" w:rsidRDefault="00645D11" w:rsidP="00645D11">
      <w:pPr>
        <w:pStyle w:val="a5"/>
        <w:spacing w:line="360" w:lineRule="auto"/>
        <w:ind w:firstLineChars="200" w:firstLine="488"/>
        <w:jc w:val="both"/>
        <w:rPr>
          <w:rFonts w:asciiTheme="minorEastAsia" w:eastAsiaTheme="minorEastAsia" w:hAnsiTheme="minorEastAsia"/>
          <w:lang w:eastAsia="zh-CN"/>
        </w:rPr>
      </w:pPr>
      <w:r w:rsidRPr="00910FBC">
        <w:rPr>
          <w:rFonts w:asciiTheme="minorEastAsia" w:eastAsiaTheme="minorEastAsia" w:hAnsiTheme="minorEastAsia" w:cs="宋体" w:hint="eastAsia"/>
          <w:spacing w:val="2"/>
          <w:shd w:val="clear" w:color="auto" w:fill="D9D9D9"/>
          <w:lang w:eastAsia="zh-CN"/>
        </w:rPr>
        <w:t>投标人投标时提供本单位自</w:t>
      </w:r>
      <w:r w:rsidRPr="00910FBC">
        <w:rPr>
          <w:rFonts w:asciiTheme="minorEastAsia" w:eastAsiaTheme="minorEastAsia" w:hAnsiTheme="minorEastAsia"/>
          <w:shd w:val="clear" w:color="auto" w:fill="D9D9D9"/>
          <w:lang w:eastAsia="zh-CN"/>
        </w:rPr>
        <w:t>2014</w:t>
      </w:r>
      <w:r w:rsidRPr="00910FBC">
        <w:rPr>
          <w:rFonts w:asciiTheme="minorEastAsia" w:eastAsiaTheme="minorEastAsia" w:hAnsiTheme="minorEastAsia"/>
          <w:spacing w:val="-33"/>
          <w:shd w:val="clear" w:color="auto" w:fill="D9D9D9"/>
          <w:lang w:eastAsia="zh-CN"/>
        </w:rPr>
        <w:t xml:space="preserve"> </w:t>
      </w:r>
      <w:r w:rsidRPr="00910FBC">
        <w:rPr>
          <w:rFonts w:asciiTheme="minorEastAsia" w:eastAsiaTheme="minorEastAsia" w:hAnsiTheme="minorEastAsia" w:cs="宋体" w:hint="eastAsia"/>
          <w:spacing w:val="-33"/>
          <w:shd w:val="clear" w:color="auto" w:fill="D9D9D9"/>
          <w:lang w:eastAsia="zh-CN"/>
        </w:rPr>
        <w:t>年</w:t>
      </w:r>
      <w:r w:rsidRPr="00910FBC">
        <w:rPr>
          <w:rFonts w:asciiTheme="minorEastAsia" w:eastAsiaTheme="minorEastAsia" w:hAnsiTheme="minorEastAsia"/>
          <w:shd w:val="clear" w:color="auto" w:fill="D9D9D9"/>
          <w:lang w:eastAsia="zh-CN"/>
        </w:rPr>
        <w:t>9</w:t>
      </w:r>
      <w:r w:rsidRPr="00910FBC">
        <w:rPr>
          <w:rFonts w:asciiTheme="minorEastAsia" w:eastAsiaTheme="minorEastAsia" w:hAnsiTheme="minorEastAsia"/>
          <w:spacing w:val="-9"/>
          <w:shd w:val="clear" w:color="auto" w:fill="D9D9D9"/>
          <w:lang w:eastAsia="zh-CN"/>
        </w:rPr>
        <w:t xml:space="preserve"> </w:t>
      </w:r>
      <w:r w:rsidRPr="00910FBC">
        <w:rPr>
          <w:rFonts w:asciiTheme="minorEastAsia" w:eastAsiaTheme="minorEastAsia" w:hAnsiTheme="minorEastAsia" w:cs="宋体" w:hint="eastAsia"/>
          <w:spacing w:val="-9"/>
          <w:shd w:val="clear" w:color="auto" w:fill="D9D9D9"/>
          <w:lang w:eastAsia="zh-CN"/>
        </w:rPr>
        <w:t>月以来与最终用户签订的单项合同金额在</w:t>
      </w:r>
      <w:r w:rsidRPr="00910FBC">
        <w:rPr>
          <w:rFonts w:asciiTheme="minorEastAsia" w:eastAsiaTheme="minorEastAsia" w:hAnsiTheme="minorEastAsia"/>
          <w:shd w:val="clear" w:color="auto" w:fill="D9D9D9"/>
          <w:lang w:eastAsia="zh-CN"/>
        </w:rPr>
        <w:t xml:space="preserve">100 </w:t>
      </w:r>
      <w:r w:rsidRPr="00910FBC">
        <w:rPr>
          <w:rFonts w:asciiTheme="minorEastAsia" w:eastAsiaTheme="minorEastAsia" w:hAnsiTheme="minorEastAsia" w:cs="宋体" w:hint="eastAsia"/>
          <w:spacing w:val="-5"/>
          <w:shd w:val="clear" w:color="auto" w:fill="D9D9D9"/>
          <w:lang w:eastAsia="zh-CN"/>
        </w:rPr>
        <w:t>万元以上</w:t>
      </w:r>
      <w:r w:rsidRPr="00910FBC">
        <w:rPr>
          <w:rFonts w:asciiTheme="minorEastAsia" w:eastAsiaTheme="minorEastAsia" w:hAnsiTheme="minorEastAsia" w:cs="宋体" w:hint="eastAsia"/>
          <w:shd w:val="clear" w:color="auto" w:fill="D9D9D9"/>
          <w:lang w:eastAsia="zh-CN"/>
        </w:rPr>
        <w:t>（</w:t>
      </w:r>
      <w:r w:rsidRPr="00910FBC">
        <w:rPr>
          <w:rFonts w:asciiTheme="minorEastAsia" w:eastAsiaTheme="minorEastAsia" w:hAnsiTheme="minorEastAsia" w:cs="宋体" w:hint="eastAsia"/>
          <w:spacing w:val="-30"/>
          <w:shd w:val="clear" w:color="auto" w:fill="D9D9D9"/>
          <w:lang w:eastAsia="zh-CN"/>
        </w:rPr>
        <w:t>含</w:t>
      </w:r>
      <w:r w:rsidRPr="00910FBC">
        <w:rPr>
          <w:rFonts w:asciiTheme="minorEastAsia" w:eastAsiaTheme="minorEastAsia" w:hAnsiTheme="minorEastAsia"/>
          <w:spacing w:val="-30"/>
          <w:shd w:val="clear" w:color="auto" w:fill="D9D9D9"/>
          <w:lang w:eastAsia="zh-CN"/>
        </w:rPr>
        <w:t xml:space="preserve"> </w:t>
      </w:r>
      <w:r w:rsidRPr="00910FBC">
        <w:rPr>
          <w:rFonts w:asciiTheme="minorEastAsia" w:eastAsiaTheme="minorEastAsia" w:hAnsiTheme="minorEastAsia"/>
          <w:shd w:val="clear" w:color="auto" w:fill="D9D9D9"/>
          <w:lang w:eastAsia="zh-CN"/>
        </w:rPr>
        <w:t>100</w:t>
      </w:r>
      <w:r w:rsidRPr="00910FBC">
        <w:rPr>
          <w:rFonts w:asciiTheme="minorEastAsia" w:eastAsiaTheme="minorEastAsia" w:hAnsiTheme="minorEastAsia"/>
          <w:spacing w:val="-20"/>
          <w:shd w:val="clear" w:color="auto" w:fill="D9D9D9"/>
          <w:lang w:eastAsia="zh-CN"/>
        </w:rPr>
        <w:t xml:space="preserve"> </w:t>
      </w:r>
      <w:r w:rsidRPr="00910FBC">
        <w:rPr>
          <w:rFonts w:asciiTheme="minorEastAsia" w:eastAsiaTheme="minorEastAsia" w:hAnsiTheme="minorEastAsia" w:cs="宋体" w:hint="eastAsia"/>
          <w:spacing w:val="-20"/>
          <w:shd w:val="clear" w:color="auto" w:fill="D9D9D9"/>
          <w:lang w:eastAsia="zh-CN"/>
        </w:rPr>
        <w:t>万元</w:t>
      </w:r>
      <w:r w:rsidRPr="00910FBC">
        <w:rPr>
          <w:rFonts w:asciiTheme="minorEastAsia" w:eastAsiaTheme="minorEastAsia" w:hAnsiTheme="minorEastAsia" w:cs="宋体" w:hint="eastAsia"/>
          <w:spacing w:val="-17"/>
          <w:shd w:val="clear" w:color="auto" w:fill="D9D9D9"/>
          <w:lang w:eastAsia="zh-CN"/>
        </w:rPr>
        <w:t>）</w:t>
      </w:r>
      <w:r w:rsidRPr="00910FBC">
        <w:rPr>
          <w:rFonts w:asciiTheme="minorEastAsia" w:eastAsiaTheme="minorEastAsia" w:hAnsiTheme="minorEastAsia" w:cs="宋体" w:hint="eastAsia"/>
          <w:spacing w:val="-2"/>
          <w:shd w:val="clear" w:color="auto" w:fill="D9D9D9"/>
          <w:lang w:eastAsia="zh-CN"/>
        </w:rPr>
        <w:t>的同类项目的合同。合同原件必须双方盖骑缝章或每页双方盖</w:t>
      </w:r>
      <w:r w:rsidRPr="00910FBC">
        <w:rPr>
          <w:rFonts w:asciiTheme="minorEastAsia" w:eastAsiaTheme="minorEastAsia" w:hAnsiTheme="minorEastAsia" w:cs="宋体" w:hint="eastAsia"/>
          <w:spacing w:val="-240"/>
          <w:shd w:val="clear" w:color="auto" w:fill="D9D9D9"/>
          <w:lang w:eastAsia="zh-CN"/>
        </w:rPr>
        <w:t>章</w:t>
      </w:r>
      <w:r w:rsidRPr="00910FBC">
        <w:rPr>
          <w:rFonts w:asciiTheme="minorEastAsia" w:eastAsiaTheme="minorEastAsia" w:hAnsiTheme="minorEastAsia" w:cs="宋体" w:hint="eastAsia"/>
          <w:shd w:val="clear" w:color="auto" w:fill="D9D9D9"/>
          <w:lang w:eastAsia="zh-CN"/>
        </w:rPr>
        <w:t>，否则合同不予计分。</w:t>
      </w:r>
    </w:p>
    <w:p w:rsidR="00645D11" w:rsidRPr="00910FBC" w:rsidRDefault="00645D11" w:rsidP="00645D11">
      <w:pPr>
        <w:pStyle w:val="a5"/>
        <w:spacing w:line="360" w:lineRule="auto"/>
        <w:ind w:firstLineChars="200" w:firstLine="448"/>
        <w:jc w:val="both"/>
        <w:rPr>
          <w:rFonts w:asciiTheme="minorEastAsia" w:eastAsiaTheme="minorEastAsia" w:hAnsiTheme="minorEastAsia"/>
          <w:lang w:eastAsia="zh-CN"/>
        </w:rPr>
      </w:pPr>
      <w:r w:rsidRPr="00910FBC">
        <w:rPr>
          <w:rFonts w:asciiTheme="minorEastAsia" w:eastAsiaTheme="minorEastAsia" w:hAnsiTheme="minorEastAsia" w:cs="宋体" w:hint="eastAsia"/>
          <w:spacing w:val="-8"/>
          <w:lang w:eastAsia="zh-CN"/>
        </w:rPr>
        <w:t>投标资质、业绩资料及其他资料，需按招标文件附件中《供应商资质及业绩等资料</w:t>
      </w:r>
      <w:r w:rsidRPr="00910FBC">
        <w:rPr>
          <w:rFonts w:asciiTheme="minorEastAsia" w:eastAsiaTheme="minorEastAsia" w:hAnsiTheme="minorEastAsia" w:cs="宋体" w:hint="eastAsia"/>
          <w:spacing w:val="-19"/>
          <w:lang w:eastAsia="zh-CN"/>
        </w:rPr>
        <w:t>提交表》的格式列出清单，清单与资料原件装入一个文件袋内，在投标时提交采购中心，</w:t>
      </w:r>
      <w:r w:rsidRPr="00910FBC">
        <w:rPr>
          <w:rFonts w:asciiTheme="minorEastAsia" w:eastAsiaTheme="minorEastAsia" w:hAnsiTheme="minorEastAsia"/>
          <w:spacing w:val="-19"/>
          <w:lang w:eastAsia="zh-CN"/>
        </w:rPr>
        <w:t xml:space="preserve"> </w:t>
      </w:r>
      <w:r w:rsidRPr="00910FBC">
        <w:rPr>
          <w:rFonts w:asciiTheme="minorEastAsia" w:eastAsiaTheme="minorEastAsia" w:hAnsiTheme="minorEastAsia" w:cs="宋体" w:hint="eastAsia"/>
          <w:spacing w:val="-19"/>
          <w:lang w:eastAsia="zh-CN"/>
        </w:rPr>
        <w:t>过时不收。清单中所列所有资料复印件应装订到投标文件中，不允许单独提交。</w:t>
      </w:r>
    </w:p>
    <w:p w:rsidR="003827C7" w:rsidRDefault="003827C7">
      <w:pPr>
        <w:rPr>
          <w:lang w:eastAsia="zh-CN"/>
        </w:rPr>
      </w:pPr>
    </w:p>
    <w:sectPr w:rsidR="003827C7" w:rsidSect="003827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BA" w:rsidRDefault="005804BA" w:rsidP="00645D11">
      <w:r>
        <w:separator/>
      </w:r>
    </w:p>
  </w:endnote>
  <w:endnote w:type="continuationSeparator" w:id="0">
    <w:p w:rsidR="005804BA" w:rsidRDefault="005804BA" w:rsidP="00645D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BA" w:rsidRDefault="005804BA" w:rsidP="00645D11">
      <w:r>
        <w:separator/>
      </w:r>
    </w:p>
  </w:footnote>
  <w:footnote w:type="continuationSeparator" w:id="0">
    <w:p w:rsidR="005804BA" w:rsidRDefault="005804BA" w:rsidP="00645D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D11"/>
    <w:rsid w:val="0003488D"/>
    <w:rsid w:val="003827C7"/>
    <w:rsid w:val="005259EE"/>
    <w:rsid w:val="005804BA"/>
    <w:rsid w:val="00645D11"/>
    <w:rsid w:val="009A2B9B"/>
    <w:rsid w:val="00DD0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5D11"/>
    <w:pPr>
      <w:widowControl w:val="0"/>
      <w:autoSpaceDE w:val="0"/>
      <w:autoSpaceDN w:val="0"/>
    </w:pPr>
    <w:rPr>
      <w:rFonts w:ascii="Noto Sans Mono CJK JP Regular" w:eastAsia="Noto Sans Mono CJK JP Regular" w:hAnsi="Noto Sans Mono CJK JP Regular" w:cs="Noto Sans Mono CJK JP Regular"/>
      <w:kern w:val="0"/>
      <w:sz w:val="22"/>
      <w:lang w:eastAsia="en-US"/>
    </w:rPr>
  </w:style>
  <w:style w:type="paragraph" w:styleId="2">
    <w:name w:val="heading 2"/>
    <w:basedOn w:val="a"/>
    <w:next w:val="a"/>
    <w:link w:val="2Char"/>
    <w:uiPriority w:val="9"/>
    <w:unhideWhenUsed/>
    <w:qFormat/>
    <w:rsid w:val="00645D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5D11"/>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645D11"/>
    <w:rPr>
      <w:sz w:val="18"/>
      <w:szCs w:val="18"/>
    </w:rPr>
  </w:style>
  <w:style w:type="paragraph" w:styleId="a4">
    <w:name w:val="footer"/>
    <w:basedOn w:val="a"/>
    <w:link w:val="Char0"/>
    <w:uiPriority w:val="99"/>
    <w:semiHidden/>
    <w:unhideWhenUsed/>
    <w:rsid w:val="00645D11"/>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645D11"/>
    <w:rPr>
      <w:sz w:val="18"/>
      <w:szCs w:val="18"/>
    </w:rPr>
  </w:style>
  <w:style w:type="character" w:customStyle="1" w:styleId="2Char">
    <w:name w:val="标题 2 Char"/>
    <w:basedOn w:val="a0"/>
    <w:link w:val="2"/>
    <w:uiPriority w:val="9"/>
    <w:rsid w:val="00645D11"/>
    <w:rPr>
      <w:rFonts w:asciiTheme="majorHAnsi" w:eastAsiaTheme="majorEastAsia" w:hAnsiTheme="majorHAnsi" w:cstheme="majorBidi"/>
      <w:b/>
      <w:bCs/>
      <w:kern w:val="0"/>
      <w:sz w:val="32"/>
      <w:szCs w:val="32"/>
      <w:lang w:eastAsia="en-US"/>
    </w:rPr>
  </w:style>
  <w:style w:type="paragraph" w:styleId="a5">
    <w:name w:val="Body Text"/>
    <w:basedOn w:val="a"/>
    <w:link w:val="Char1"/>
    <w:uiPriority w:val="1"/>
    <w:qFormat/>
    <w:rsid w:val="00645D11"/>
    <w:rPr>
      <w:sz w:val="24"/>
      <w:szCs w:val="24"/>
    </w:rPr>
  </w:style>
  <w:style w:type="character" w:customStyle="1" w:styleId="Char1">
    <w:name w:val="正文文本 Char"/>
    <w:basedOn w:val="a0"/>
    <w:link w:val="a5"/>
    <w:uiPriority w:val="1"/>
    <w:rsid w:val="00645D11"/>
    <w:rPr>
      <w:rFonts w:ascii="Noto Sans Mono CJK JP Regular" w:eastAsia="Noto Sans Mono CJK JP Regular" w:hAnsi="Noto Sans Mono CJK JP Regular" w:cs="Noto Sans Mono CJK JP Regular"/>
      <w:kern w:val="0"/>
      <w:sz w:val="24"/>
      <w:szCs w:val="24"/>
      <w:lang w:eastAsia="en-US"/>
    </w:rPr>
  </w:style>
  <w:style w:type="paragraph" w:customStyle="1" w:styleId="Heading4">
    <w:name w:val="Heading 4"/>
    <w:basedOn w:val="a"/>
    <w:uiPriority w:val="1"/>
    <w:qFormat/>
    <w:rsid w:val="00645D11"/>
    <w:pPr>
      <w:spacing w:line="529" w:lineRule="exact"/>
      <w:ind w:left="644"/>
      <w:outlineLvl w:val="4"/>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崔宏光</dc:creator>
  <cp:keywords/>
  <dc:description/>
  <cp:lastModifiedBy>崔宏光</cp:lastModifiedBy>
  <cp:revision>2</cp:revision>
  <dcterms:created xsi:type="dcterms:W3CDTF">2019-03-18T03:50:00Z</dcterms:created>
  <dcterms:modified xsi:type="dcterms:W3CDTF">2019-03-18T03:51:00Z</dcterms:modified>
</cp:coreProperties>
</file>